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【福满厦门】厦门一地双飞五日游行程单</w:t>
      </w:r>
    </w:p>
    <w:p>
      <w:pPr>
        <w:jc w:val="center"/>
        <w:spacing w:after="100"/>
      </w:pPr>
      <w:r>
        <w:rPr>
          <w:rFonts w:ascii="微软雅黑" w:hAnsi="微软雅黑" w:eastAsia="微软雅黑" w:cs="微软雅黑"/>
          <w:sz w:val="20"/>
          <w:szCs w:val="20"/>
        </w:rPr>
        <w:t xml:space="preserve">南普陀寺祈福+鼓浪屿+永定土楼+篝火晚会+老院子+闽南传奇秀演出+环岛路+无人机航拍+集美学村等  一次玩遍厦门！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FJ1724914214Dn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回程航班：厦门-济南SC8402（18:50-21:15)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独家定制： 山东成团· 25人内精品包团 ·济南全陪导游陪同！
                <w:br/>
                航班定制： 精选白天直飞黄金时刻，无敌观景航班！
                <w:br/>
                无忧定制： 全程一导制，不换导游，不拼一日游，不转团！
                <w:br/>
                特色定制： 厦门精华景点+大型演出+篝火晚会，美景与人文的完美结合！
                <w:br/>
                美味定制： 海鲜大咖锅+佛跳墙+客家九大簋 体验舌尖上的闽南味道！
                <w:br/>
                航拍定制：不一样的角度，拍出您不同的美！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厦门自贸区-老院子景区-闽南传奇秀演出-集美学村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
                <w:br/>
                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3.目的地专车接送机（站）服务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厦门市区2正餐 餐标为30元/人/正 土楼当天升级50元/人/正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厦门自贸区</w:t>
            </w:r>
          </w:p>
        </w:tc>
        <w:tc>
          <w:tcPr/>
          <w:p>
            <w:pPr>
              <w:pStyle w:val="indent"/>
            </w:pPr>
            <w:r>
              <w:rPr>
                <w:rFonts w:ascii="微软雅黑" w:hAnsi="微软雅黑" w:eastAsia="微软雅黑" w:cs="微软雅黑"/>
                <w:color w:val="000000"/>
                <w:sz w:val="20"/>
                <w:szCs w:val="20"/>
              </w:rPr>
              <w:t xml:space="preserve">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2025-05-07T18:16:47+08:00</dcterms:created>
  <dcterms:modified xsi:type="dcterms:W3CDTF">2025-05-07T18:16:47+08:00</dcterms:modified>
</cp:coreProperties>
</file>

<file path=docProps/custom.xml><?xml version="1.0" encoding="utf-8"?>
<Properties xmlns="http://schemas.openxmlformats.org/officeDocument/2006/custom-properties" xmlns:vt="http://schemas.openxmlformats.org/officeDocument/2006/docPropsVTypes"/>
</file>