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【希尔顿北京】---双高四日游行程单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BJ1740728025QS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【恭王府】（游览时间约60分钟）中国现存王府中保存最完整的清代，始建于清乾隆年间，初为大学士和珅的私邸，恭王府历经了清王朝由鼎盛而至衰亡的历史进程，故有了“一座恭王府，半部清代史”的说法。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30分钟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 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
                <w:br/>
                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天坛通票—颐和园—圆明园—知名学府（外景）-家乡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2、住宿（标间或大床房）：北京四钻酒店住宿双人标间/大床房，酒店不提供单间，单人需游客另付房差。
                <w:br/>
                3、用餐：3早3正餐，早餐酒店免费提供，不吃费用不退（升旗时间较早，酒店提供很简单打包早，可自己准备点零食）。
                <w:br/>
                4、用车：北京当地空调旅游车（根据客人人数调配车辆，保证客人每人都有座位）。
                <w:br/>
                5、大交通：家乡-北京南往返高铁票二等座。
                <w:br/>
                6、导游：北京专职优秀持国导证导游服务。
                <w:br/>
                7、小童报价：小童报价只含北京当地车餐，其他不含，产生现付导游。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2、所有景点内小门票及私人所产生的个人费用等；儿童超高费用
                <w:br/>
                3、由于不可抗拒原因而需要变更行程时产生的费用（包括但不限于自然灾害、航班延误或取消、车辆故障、交通意外等）。
                <w:br/>
                4、景区自愿参加自理：颐和园游船100元/人、长城滑车140元/人 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2025-06-29T02:59:47+08:00</dcterms:created>
  <dcterms:modified xsi:type="dcterms:W3CDTF">2025-06-29T02:59:47+08:00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